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4D0B31" w:rsidRPr="004D0B31" w:rsidRDefault="004D0B31" w:rsidP="004D0B31">
      <w:pPr>
        <w:spacing w:after="52" w:line="216" w:lineRule="exact"/>
        <w:ind w:firstLine="288"/>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Artículo 127.-</w:t>
      </w:r>
      <w:r w:rsidRPr="004D0B31">
        <w:rPr>
          <w:rFonts w:ascii="Arial" w:eastAsia="Times New Roman" w:hAnsi="Arial" w:cs="Arial"/>
          <w:sz w:val="18"/>
          <w:szCs w:val="20"/>
          <w:lang w:val="es-ES" w:eastAsia="es-ES"/>
        </w:rPr>
        <w:t xml:space="preserve"> Las cantidades de trabajos presentadas en las </w:t>
      </w:r>
      <w:r w:rsidRPr="006704DF">
        <w:rPr>
          <w:rFonts w:ascii="Arial" w:eastAsia="Times New Roman" w:hAnsi="Arial" w:cs="Arial"/>
          <w:b/>
          <w:i/>
          <w:sz w:val="18"/>
          <w:szCs w:val="20"/>
          <w:u w:val="single"/>
          <w:lang w:val="es-ES" w:eastAsia="es-ES"/>
        </w:rPr>
        <w:t xml:space="preserve">estimaciones </w:t>
      </w:r>
      <w:r w:rsidRPr="004D0B31">
        <w:rPr>
          <w:rFonts w:ascii="Arial" w:eastAsia="Times New Roman" w:hAnsi="Arial" w:cs="Arial"/>
          <w:sz w:val="18"/>
          <w:szCs w:val="20"/>
          <w:lang w:val="es-ES" w:eastAsia="es-ES"/>
        </w:rPr>
        <w:t xml:space="preserve">deberán corresponder a la secuencia y tiempo previsto en el programa de ejecución </w:t>
      </w:r>
      <w:proofErr w:type="gramStart"/>
      <w:r w:rsidRPr="004D0B31">
        <w:rPr>
          <w:rFonts w:ascii="Arial" w:eastAsia="Times New Roman" w:hAnsi="Arial" w:cs="Arial"/>
          <w:sz w:val="18"/>
          <w:szCs w:val="20"/>
          <w:lang w:val="es-ES" w:eastAsia="es-ES"/>
        </w:rPr>
        <w:t>convenido</w:t>
      </w:r>
      <w:proofErr w:type="gramEnd"/>
      <w:r w:rsidRPr="004D0B31">
        <w:rPr>
          <w:rFonts w:ascii="Arial" w:eastAsia="Times New Roman" w:hAnsi="Arial" w:cs="Arial"/>
          <w:sz w:val="18"/>
          <w:szCs w:val="20"/>
          <w:lang w:val="es-ES" w:eastAsia="es-ES"/>
        </w:rPr>
        <w:t>, así como a los estándares de desempeño que, en su caso, se establezcan en la convocatoria a la licitación pública y en el contrato.</w:t>
      </w:r>
    </w:p>
    <w:p w:rsidR="004D0B31" w:rsidRPr="004D0B31" w:rsidRDefault="004D0B31" w:rsidP="004D0B31">
      <w:pPr>
        <w:spacing w:after="52" w:line="216" w:lineRule="exact"/>
        <w:ind w:firstLine="288"/>
        <w:jc w:val="both"/>
        <w:rPr>
          <w:rFonts w:ascii="Arial" w:eastAsia="Times New Roman" w:hAnsi="Arial" w:cs="Arial"/>
          <w:sz w:val="18"/>
          <w:szCs w:val="20"/>
          <w:lang w:val="es-ES" w:eastAsia="es-ES"/>
        </w:rPr>
      </w:pPr>
      <w:r w:rsidRPr="004D0B31">
        <w:rPr>
          <w:rFonts w:ascii="Arial" w:eastAsia="Times New Roman" w:hAnsi="Arial" w:cs="Arial"/>
          <w:sz w:val="18"/>
          <w:szCs w:val="20"/>
          <w:lang w:val="es-ES" w:eastAsia="es-ES"/>
        </w:rPr>
        <w:t>Las dependencias y entidades deberán establecer en el contrato el lugar en que se realizará el pago y las fechas de corte, las que podrán referirse a fechas fijas, o bien, a un acontecimiento que deba cumplirse.</w:t>
      </w:r>
    </w:p>
    <w:p w:rsidR="004D0B31" w:rsidRPr="004D0B31" w:rsidRDefault="004D0B31" w:rsidP="004D0B31">
      <w:pPr>
        <w:spacing w:after="52" w:line="216" w:lineRule="exact"/>
        <w:ind w:firstLine="288"/>
        <w:jc w:val="both"/>
        <w:rPr>
          <w:rFonts w:ascii="Arial" w:eastAsia="Times New Roman" w:hAnsi="Arial" w:cs="Arial"/>
          <w:sz w:val="18"/>
          <w:szCs w:val="20"/>
          <w:lang w:val="es-ES" w:eastAsia="es-ES"/>
        </w:rPr>
      </w:pPr>
      <w:r w:rsidRPr="004D0B31">
        <w:rPr>
          <w:rFonts w:ascii="Arial" w:eastAsia="Times New Roman" w:hAnsi="Arial" w:cs="Arial"/>
          <w:sz w:val="18"/>
          <w:szCs w:val="20"/>
          <w:lang w:val="es-ES" w:eastAsia="es-ES"/>
        </w:rPr>
        <w:t>El atraso que tenga lugar por la falta de pago de estimaciones no implicará retraso en el programa de ejecución convenido y, por tanto, no se considerará como causa de aplicación de penas convencionales ni como incumplimiento del contrato y causa de rescisión administrativa. Tal situación deberá documentarse y registrarse en la Bitácora.</w:t>
      </w:r>
    </w:p>
    <w:p w:rsidR="004D0B31" w:rsidRPr="004D0B31" w:rsidRDefault="004D0B31" w:rsidP="004D0B31">
      <w:pPr>
        <w:spacing w:after="52" w:line="216" w:lineRule="exact"/>
        <w:ind w:firstLine="288"/>
        <w:jc w:val="both"/>
        <w:rPr>
          <w:rFonts w:ascii="Arial" w:eastAsia="Times New Roman" w:hAnsi="Arial" w:cs="Arial"/>
          <w:sz w:val="18"/>
          <w:szCs w:val="20"/>
          <w:lang w:val="es-ES" w:eastAsia="es-ES"/>
        </w:rPr>
      </w:pPr>
      <w:r w:rsidRPr="004D0B31">
        <w:rPr>
          <w:rFonts w:ascii="Arial" w:eastAsia="Times New Roman" w:hAnsi="Arial" w:cs="Arial"/>
          <w:sz w:val="18"/>
          <w:szCs w:val="20"/>
          <w:lang w:val="es-ES" w:eastAsia="es-ES"/>
        </w:rPr>
        <w:t>El retraso en el pago de estimaciones en que incurran las dependencias y entidades diferirá en igual plazo la fecha de terminación de los trabajos, circunstancia que deberá formalizarse, previa solicitud del contratista, a través del convenio respectivo. No procederá dicho diferimiento cuando el retraso en el pago derive de causas imputables al contratista.</w:t>
      </w:r>
    </w:p>
    <w:p w:rsidR="00F91C99" w:rsidRDefault="00F91C99" w:rsidP="00E063E0">
      <w:pPr>
        <w:spacing w:after="46" w:line="240" w:lineRule="auto"/>
        <w:ind w:firstLine="288"/>
        <w:jc w:val="both"/>
        <w:rPr>
          <w:rFonts w:ascii="Arial" w:eastAsia="Times New Roman" w:hAnsi="Arial" w:cs="Arial"/>
          <w:b/>
          <w:sz w:val="18"/>
          <w:szCs w:val="24"/>
          <w:lang w:val="es-ES" w:eastAsia="es-ES"/>
        </w:rPr>
      </w:pPr>
    </w:p>
    <w:p w:rsidR="004D0B31" w:rsidRPr="004D0B31" w:rsidRDefault="004D0B31" w:rsidP="004D0B31">
      <w:pPr>
        <w:spacing w:after="55" w:line="220" w:lineRule="exact"/>
        <w:ind w:firstLine="288"/>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Artículo 130.-</w:t>
      </w:r>
      <w:r w:rsidRPr="004D0B31">
        <w:rPr>
          <w:rFonts w:ascii="Arial" w:eastAsia="Times New Roman" w:hAnsi="Arial" w:cs="Arial"/>
          <w:sz w:val="18"/>
          <w:szCs w:val="20"/>
          <w:lang w:val="es-ES" w:eastAsia="es-ES"/>
        </w:rPr>
        <w:t xml:space="preserve"> </w:t>
      </w:r>
      <w:r w:rsidRPr="004D0B31">
        <w:rPr>
          <w:rFonts w:ascii="Arial" w:eastAsia="Times New Roman" w:hAnsi="Arial" w:cs="Arial"/>
          <w:sz w:val="18"/>
          <w:szCs w:val="20"/>
          <w:lang w:val="es-ES_tradnl" w:eastAsia="es-ES"/>
        </w:rPr>
        <w:t>En los contratos de obras y servicios únicamente se reconocerán los siguientes tipos de estimaciones:</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 w:eastAsia="es-ES"/>
        </w:rPr>
        <w:t>De trabajos ejecutados;</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II.</w:t>
      </w:r>
      <w:r w:rsidRPr="004D0B31">
        <w:rPr>
          <w:rFonts w:ascii="Arial" w:eastAsia="Times New Roman" w:hAnsi="Arial" w:cs="Arial"/>
          <w:sz w:val="18"/>
          <w:szCs w:val="20"/>
          <w:lang w:val="es-ES" w:eastAsia="es-ES"/>
        </w:rPr>
        <w:tab/>
        <w:t>De pago de cantidades adicionales o conceptos no previstos en el catálogo original del contrato;</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III.</w:t>
      </w:r>
      <w:r w:rsidRPr="004D0B31">
        <w:rPr>
          <w:rFonts w:ascii="Arial" w:eastAsia="Times New Roman" w:hAnsi="Arial" w:cs="Arial"/>
          <w:sz w:val="18"/>
          <w:szCs w:val="20"/>
          <w:lang w:val="es-ES" w:eastAsia="es-ES"/>
        </w:rPr>
        <w:tab/>
        <w:t>De gastos no recuperables a que alude el artículo 62 de la Ley, y</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IV.</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 w:eastAsia="es-ES"/>
        </w:rPr>
        <w:t>De los ajustes de costos.</w:t>
      </w:r>
    </w:p>
    <w:p w:rsidR="004D0B31" w:rsidRPr="004D0B31" w:rsidRDefault="004D0B31" w:rsidP="004D0B31">
      <w:pPr>
        <w:spacing w:after="55" w:line="220" w:lineRule="exact"/>
        <w:ind w:firstLine="288"/>
        <w:jc w:val="both"/>
        <w:rPr>
          <w:rFonts w:ascii="Arial" w:eastAsia="Times New Roman" w:hAnsi="Arial" w:cs="Arial"/>
          <w:sz w:val="18"/>
          <w:szCs w:val="20"/>
          <w:lang w:val="es-ES" w:eastAsia="es-ES"/>
        </w:rPr>
      </w:pPr>
      <w:r w:rsidRPr="006704DF">
        <w:rPr>
          <w:rFonts w:ascii="Arial" w:eastAsia="Times New Roman" w:hAnsi="Arial" w:cs="Arial"/>
          <w:b/>
          <w:i/>
          <w:sz w:val="18"/>
          <w:szCs w:val="20"/>
          <w:u w:val="single"/>
          <w:lang w:val="es-ES" w:eastAsia="es-ES"/>
        </w:rPr>
        <w:t>Las estimaciones autorizadas</w:t>
      </w:r>
      <w:r w:rsidRPr="004D0B31">
        <w:rPr>
          <w:rFonts w:ascii="Arial" w:eastAsia="Times New Roman" w:hAnsi="Arial" w:cs="Arial"/>
          <w:sz w:val="18"/>
          <w:szCs w:val="20"/>
          <w:lang w:val="es-ES" w:eastAsia="es-ES"/>
        </w:rPr>
        <w:t xml:space="preserve"> por la residencia se considerarán como documentos independientes entre sí, por lo que cada una podrá ser negociada para efectos de su pago.</w:t>
      </w:r>
    </w:p>
    <w:p w:rsidR="004D0B31" w:rsidRDefault="004D0B31" w:rsidP="004D0B31">
      <w:pPr>
        <w:spacing w:after="55" w:line="220" w:lineRule="exact"/>
        <w:ind w:firstLine="288"/>
        <w:jc w:val="both"/>
        <w:rPr>
          <w:rFonts w:ascii="Arial" w:eastAsia="Times New Roman" w:hAnsi="Arial" w:cs="Arial"/>
          <w:b/>
          <w:sz w:val="18"/>
          <w:szCs w:val="20"/>
          <w:lang w:val="es-ES" w:eastAsia="es-ES"/>
        </w:rPr>
      </w:pPr>
    </w:p>
    <w:p w:rsidR="004D0B31" w:rsidRPr="004D0B31" w:rsidRDefault="004D0B31" w:rsidP="004D0B31">
      <w:pPr>
        <w:spacing w:after="55" w:line="220" w:lineRule="exact"/>
        <w:ind w:firstLine="288"/>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Artículo 132.-</w:t>
      </w:r>
      <w:r w:rsidRPr="004D0B31">
        <w:rPr>
          <w:rFonts w:ascii="Arial" w:eastAsia="Times New Roman" w:hAnsi="Arial" w:cs="Arial"/>
          <w:sz w:val="18"/>
          <w:szCs w:val="20"/>
          <w:lang w:val="es-ES" w:eastAsia="es-ES"/>
        </w:rPr>
        <w:t xml:space="preserve"> </w:t>
      </w:r>
      <w:r w:rsidRPr="004D0B31">
        <w:rPr>
          <w:rFonts w:ascii="Arial" w:eastAsia="Times New Roman" w:hAnsi="Arial" w:cs="Arial"/>
          <w:sz w:val="18"/>
          <w:szCs w:val="20"/>
          <w:lang w:val="es-ES_tradnl" w:eastAsia="es-ES"/>
        </w:rPr>
        <w:t xml:space="preserve">Los documentos que deberán acompañarse a cada </w:t>
      </w:r>
      <w:bookmarkStart w:id="0" w:name="_GoBack"/>
      <w:r w:rsidRPr="006704DF">
        <w:rPr>
          <w:rFonts w:ascii="Arial" w:eastAsia="Times New Roman" w:hAnsi="Arial" w:cs="Arial"/>
          <w:b/>
          <w:i/>
          <w:sz w:val="18"/>
          <w:szCs w:val="20"/>
          <w:u w:val="single"/>
          <w:lang w:val="es-ES_tradnl" w:eastAsia="es-ES"/>
        </w:rPr>
        <w:t>estimación</w:t>
      </w:r>
      <w:bookmarkEnd w:id="0"/>
      <w:r w:rsidRPr="004D0B31">
        <w:rPr>
          <w:rFonts w:ascii="Arial" w:eastAsia="Times New Roman" w:hAnsi="Arial" w:cs="Arial"/>
          <w:sz w:val="18"/>
          <w:szCs w:val="20"/>
          <w:lang w:val="es-ES_tradnl" w:eastAsia="es-ES"/>
        </w:rPr>
        <w:t xml:space="preserve"> serán determinados por cada dependencia o entidad, atendiendo a las características, complejidad y magnitud de los trabajos, los cuales serán, entre otros, los siguientes:</w:t>
      </w:r>
    </w:p>
    <w:p w:rsidR="004D0B31" w:rsidRPr="004D0B31" w:rsidRDefault="004D0B31" w:rsidP="004D0B31">
      <w:pPr>
        <w:spacing w:after="55" w:line="220" w:lineRule="exact"/>
        <w:ind w:left="864" w:hanging="576"/>
        <w:jc w:val="both"/>
        <w:rPr>
          <w:rFonts w:ascii="Arial" w:eastAsia="Times New Roman" w:hAnsi="Arial" w:cs="Arial"/>
          <w:sz w:val="18"/>
          <w:szCs w:val="20"/>
          <w:lang w:val="es-ES_tradnl" w:eastAsia="es-ES"/>
        </w:rPr>
      </w:pPr>
      <w:r w:rsidRPr="004D0B31">
        <w:rPr>
          <w:rFonts w:ascii="Arial" w:eastAsia="Times New Roman" w:hAnsi="Arial" w:cs="Arial"/>
          <w:b/>
          <w:sz w:val="18"/>
          <w:szCs w:val="20"/>
          <w:lang w:val="es-ES" w:eastAsia="es-ES"/>
        </w:rPr>
        <w:t>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_tradnl" w:eastAsia="es-ES"/>
        </w:rPr>
        <w:t>Números generadores;</w:t>
      </w:r>
    </w:p>
    <w:p w:rsidR="004D0B31" w:rsidRPr="004D0B31" w:rsidRDefault="004D0B31" w:rsidP="004D0B31">
      <w:pPr>
        <w:spacing w:after="55" w:line="220" w:lineRule="exact"/>
        <w:ind w:left="864" w:hanging="576"/>
        <w:jc w:val="both"/>
        <w:rPr>
          <w:rFonts w:ascii="Arial" w:eastAsia="Times New Roman" w:hAnsi="Arial" w:cs="Arial"/>
          <w:sz w:val="18"/>
          <w:szCs w:val="20"/>
          <w:lang w:val="es-ES_tradnl" w:eastAsia="es-ES"/>
        </w:rPr>
      </w:pPr>
      <w:r w:rsidRPr="004D0B31">
        <w:rPr>
          <w:rFonts w:ascii="Arial" w:eastAsia="Times New Roman" w:hAnsi="Arial" w:cs="Arial"/>
          <w:b/>
          <w:sz w:val="18"/>
          <w:szCs w:val="20"/>
          <w:lang w:val="es-ES" w:eastAsia="es-ES"/>
        </w:rPr>
        <w:t>II.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_tradnl" w:eastAsia="es-ES"/>
        </w:rPr>
        <w:t>Notas de Bitácora;</w:t>
      </w:r>
    </w:p>
    <w:p w:rsidR="004D0B31" w:rsidRPr="004D0B31" w:rsidRDefault="004D0B31" w:rsidP="004D0B31">
      <w:pPr>
        <w:spacing w:after="55" w:line="220" w:lineRule="exact"/>
        <w:ind w:left="864" w:hanging="576"/>
        <w:jc w:val="both"/>
        <w:rPr>
          <w:rFonts w:ascii="Arial" w:eastAsia="Times New Roman" w:hAnsi="Arial" w:cs="Arial"/>
          <w:sz w:val="18"/>
          <w:szCs w:val="20"/>
          <w:lang w:val="es-ES_tradnl" w:eastAsia="es-ES"/>
        </w:rPr>
      </w:pPr>
      <w:r w:rsidRPr="004D0B31">
        <w:rPr>
          <w:rFonts w:ascii="Arial" w:eastAsia="Times New Roman" w:hAnsi="Arial" w:cs="Arial"/>
          <w:b/>
          <w:sz w:val="18"/>
          <w:szCs w:val="20"/>
          <w:lang w:val="es-ES" w:eastAsia="es-ES"/>
        </w:rPr>
        <w:t>III.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_tradnl" w:eastAsia="es-ES"/>
        </w:rPr>
        <w:t>Croquis;</w:t>
      </w:r>
    </w:p>
    <w:p w:rsidR="004D0B31" w:rsidRPr="004D0B31" w:rsidRDefault="004D0B31" w:rsidP="004D0B31">
      <w:pPr>
        <w:spacing w:after="55" w:line="220" w:lineRule="exact"/>
        <w:ind w:left="864" w:hanging="576"/>
        <w:jc w:val="both"/>
        <w:rPr>
          <w:rFonts w:ascii="Arial" w:eastAsia="Times New Roman" w:hAnsi="Arial" w:cs="Arial"/>
          <w:sz w:val="18"/>
          <w:szCs w:val="20"/>
          <w:lang w:val="es-ES_tradnl" w:eastAsia="es-ES"/>
        </w:rPr>
      </w:pPr>
      <w:r w:rsidRPr="004D0B31">
        <w:rPr>
          <w:rFonts w:ascii="Arial" w:eastAsia="Times New Roman" w:hAnsi="Arial" w:cs="Arial"/>
          <w:b/>
          <w:sz w:val="18"/>
          <w:szCs w:val="20"/>
          <w:lang w:val="es-ES" w:eastAsia="es-ES"/>
        </w:rPr>
        <w:t>IV.</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_tradnl" w:eastAsia="es-ES"/>
        </w:rPr>
        <w:t>Controles de calidad, pruebas de laboratorio y fotografías;</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V.</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 w:eastAsia="es-ES"/>
        </w:rPr>
        <w:t>Análisis, cálculo e integración de los importes correspondientes a cada estimación;</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VI.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 w:eastAsia="es-ES"/>
        </w:rPr>
        <w:t>Avances de obra, tratándose de contratos a precio alzado, y</w:t>
      </w:r>
    </w:p>
    <w:p w:rsidR="004D0B31" w:rsidRPr="004D0B31" w:rsidRDefault="004D0B31" w:rsidP="004D0B31">
      <w:pPr>
        <w:spacing w:after="55" w:line="220" w:lineRule="exact"/>
        <w:ind w:left="864" w:hanging="576"/>
        <w:jc w:val="both"/>
        <w:rPr>
          <w:rFonts w:ascii="Arial" w:eastAsia="Times New Roman" w:hAnsi="Arial" w:cs="Arial"/>
          <w:sz w:val="18"/>
          <w:szCs w:val="20"/>
          <w:lang w:val="es-ES" w:eastAsia="es-ES"/>
        </w:rPr>
      </w:pPr>
      <w:r w:rsidRPr="004D0B31">
        <w:rPr>
          <w:rFonts w:ascii="Arial" w:eastAsia="Times New Roman" w:hAnsi="Arial" w:cs="Arial"/>
          <w:b/>
          <w:sz w:val="18"/>
          <w:szCs w:val="20"/>
          <w:lang w:val="es-ES" w:eastAsia="es-ES"/>
        </w:rPr>
        <w:t>VII.</w:t>
      </w:r>
      <w:r w:rsidRPr="004D0B31">
        <w:rPr>
          <w:rFonts w:ascii="Arial" w:eastAsia="Times New Roman" w:hAnsi="Arial" w:cs="Arial"/>
          <w:b/>
          <w:sz w:val="18"/>
          <w:szCs w:val="20"/>
          <w:lang w:val="es-ES" w:eastAsia="es-ES"/>
        </w:rPr>
        <w:tab/>
      </w:r>
      <w:r w:rsidRPr="004D0B31">
        <w:rPr>
          <w:rFonts w:ascii="Arial" w:eastAsia="Times New Roman" w:hAnsi="Arial" w:cs="Arial"/>
          <w:sz w:val="18"/>
          <w:szCs w:val="20"/>
          <w:lang w:val="es-ES" w:eastAsia="es-ES"/>
        </w:rPr>
        <w:t>Informe del cumplimiento de la operación y mantenimiento conforme al programa de ejecución convenido, tratándose de amortizaciones programadas.</w:t>
      </w:r>
    </w:p>
    <w:p w:rsidR="004D0B31" w:rsidRPr="004D0B31" w:rsidRDefault="004D0B31" w:rsidP="00E063E0">
      <w:pPr>
        <w:spacing w:after="46" w:line="240" w:lineRule="auto"/>
        <w:ind w:firstLine="288"/>
        <w:jc w:val="both"/>
        <w:rPr>
          <w:rFonts w:ascii="Arial" w:eastAsia="Times New Roman" w:hAnsi="Arial" w:cs="Arial"/>
          <w:b/>
          <w:sz w:val="18"/>
          <w:szCs w:val="24"/>
          <w:lang w:val="es-ES" w:eastAsia="es-ES"/>
        </w:rPr>
      </w:pPr>
    </w:p>
    <w:sectPr w:rsidR="004D0B31" w:rsidRPr="004D0B3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4258"/>
    <w:rsid w:val="00624F76"/>
    <w:rsid w:val="006704DF"/>
    <w:rsid w:val="00692AD0"/>
    <w:rsid w:val="006950E2"/>
    <w:rsid w:val="006F7B91"/>
    <w:rsid w:val="00751FBA"/>
    <w:rsid w:val="00800CAE"/>
    <w:rsid w:val="00832C3B"/>
    <w:rsid w:val="0086444C"/>
    <w:rsid w:val="008F780B"/>
    <w:rsid w:val="00923585"/>
    <w:rsid w:val="00923B5F"/>
    <w:rsid w:val="009719B5"/>
    <w:rsid w:val="00985651"/>
    <w:rsid w:val="00AA3E41"/>
    <w:rsid w:val="00B030C9"/>
    <w:rsid w:val="00B32B83"/>
    <w:rsid w:val="00B51B6E"/>
    <w:rsid w:val="00C77047"/>
    <w:rsid w:val="00C81638"/>
    <w:rsid w:val="00CE5063"/>
    <w:rsid w:val="00E063E0"/>
    <w:rsid w:val="00E83FDB"/>
    <w:rsid w:val="00EE42A6"/>
    <w:rsid w:val="00F020DB"/>
    <w:rsid w:val="00F21720"/>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2097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2013-04-12T13:35:00Z</dcterms:created>
  <dcterms:modified xsi:type="dcterms:W3CDTF">2013-04-16T18:38:00Z</dcterms:modified>
</cp:coreProperties>
</file>